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0235F" w14:textId="77777777" w:rsidR="00271F7F" w:rsidRDefault="00271F7F"/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71F7F" w:rsidRPr="00271F7F" w14:paraId="71FD6411" w14:textId="77777777" w:rsidTr="00CF7131">
        <w:tc>
          <w:tcPr>
            <w:tcW w:w="5000" w:type="pct"/>
          </w:tcPr>
          <w:p w14:paraId="7BA7DE05" w14:textId="77777777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Unidade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Curricular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Unit</w:t>
            </w:r>
          </w:p>
        </w:tc>
      </w:tr>
      <w:tr w:rsidR="00271F7F" w:rsidRPr="00271F7F" w14:paraId="6BC87BA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71495EC" w14:textId="03D21C8D" w:rsidR="003E5087" w:rsidRPr="00271F7F" w:rsidRDefault="00147834" w:rsidP="00F56A70">
            <w:pPr>
              <w:pStyle w:val="PargrafodaLista"/>
              <w:spacing w:after="0" w:line="240" w:lineRule="auto"/>
              <w:ind w:left="360"/>
              <w:rPr>
                <w:rFonts w:cs="Open Sans"/>
                <w:b/>
                <w:color w:val="1F4E79" w:themeColor="accent5" w:themeShade="80"/>
                <w:sz w:val="24"/>
                <w:szCs w:val="24"/>
              </w:rPr>
            </w:pPr>
            <w:r w:rsidRPr="00C5060A">
              <w:t xml:space="preserve">Francês </w:t>
            </w:r>
            <w:r w:rsidR="00577611">
              <w:t>C1.2</w:t>
            </w:r>
          </w:p>
        </w:tc>
      </w:tr>
      <w:tr w:rsidR="00271F7F" w:rsidRPr="00086CB8" w14:paraId="7BFD84DC" w14:textId="77777777" w:rsidTr="00CF7131">
        <w:tc>
          <w:tcPr>
            <w:tcW w:w="5000" w:type="pct"/>
          </w:tcPr>
          <w:p w14:paraId="11F82ED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47CF6FB6" w14:textId="440BC101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 xml:space="preserve">Código da Unidade Curricular | </w:t>
            </w:r>
            <w:proofErr w:type="spellStart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>Course</w:t>
            </w:r>
            <w:proofErr w:type="spellEnd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 xml:space="preserve"> ID</w:t>
            </w:r>
          </w:p>
        </w:tc>
      </w:tr>
      <w:tr w:rsidR="00271F7F" w:rsidRPr="00086CB8" w14:paraId="15823EE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74BE44D" w14:textId="2C396A02" w:rsidR="003E5087" w:rsidRPr="00147834" w:rsidRDefault="00147834" w:rsidP="0057761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color w:val="auto"/>
                <w:sz w:val="24"/>
                <w:szCs w:val="24"/>
                <w:lang w:val="pt-PT"/>
              </w:rPr>
            </w:pPr>
            <w:r w:rsidRPr="00147834">
              <w:rPr>
                <w:rFonts w:asciiTheme="minorHAnsi" w:hAnsiTheme="minorHAnsi" w:cs="Open Sans"/>
                <w:color w:val="auto"/>
                <w:sz w:val="24"/>
                <w:szCs w:val="24"/>
                <w:lang w:val="pt-PT"/>
              </w:rPr>
              <w:t>857</w:t>
            </w:r>
            <w:r w:rsidR="00577611">
              <w:rPr>
                <w:rFonts w:asciiTheme="minorHAnsi" w:hAnsiTheme="minorHAnsi" w:cs="Open Sans"/>
                <w:color w:val="auto"/>
                <w:sz w:val="24"/>
                <w:szCs w:val="24"/>
                <w:lang w:val="pt-PT"/>
              </w:rPr>
              <w:t>91</w:t>
            </w:r>
          </w:p>
        </w:tc>
      </w:tr>
      <w:tr w:rsidR="00271F7F" w:rsidRPr="00271F7F" w14:paraId="19438E75" w14:textId="77777777" w:rsidTr="00CF7131">
        <w:tc>
          <w:tcPr>
            <w:tcW w:w="5000" w:type="pct"/>
          </w:tcPr>
          <w:p w14:paraId="27A21302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39B614AA" w14:textId="3B6CD033" w:rsidR="006C3D1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Créditos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ECTS | </w:t>
            </w:r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ECTS</w:t>
            </w: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Credits</w:t>
            </w:r>
          </w:p>
        </w:tc>
      </w:tr>
      <w:tr w:rsidR="00271F7F" w:rsidRPr="00271F7F" w14:paraId="6CF01411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53C14A1" w14:textId="705E6253" w:rsidR="00CF7131" w:rsidRPr="00271F7F" w:rsidRDefault="00147834" w:rsidP="00147834">
            <w:pPr>
              <w:pStyle w:val="Body1"/>
              <w:tabs>
                <w:tab w:val="left" w:pos="284"/>
              </w:tabs>
              <w:spacing w:after="0" w:line="240" w:lineRule="auto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147834">
              <w:rPr>
                <w:rFonts w:asciiTheme="minorHAnsi" w:hAnsiTheme="minorHAnsi" w:cs="Open Sans"/>
                <w:bCs/>
                <w:color w:val="auto"/>
                <w:sz w:val="24"/>
                <w:szCs w:val="24"/>
              </w:rPr>
              <w:t>6 ECTS</w:t>
            </w:r>
          </w:p>
        </w:tc>
      </w:tr>
      <w:tr w:rsidR="00271F7F" w:rsidRPr="00271F7F" w14:paraId="15329359" w14:textId="77777777" w:rsidTr="00CF7131">
        <w:tc>
          <w:tcPr>
            <w:tcW w:w="5000" w:type="pct"/>
          </w:tcPr>
          <w:p w14:paraId="55C9C5DD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4685C710" w14:textId="0FC00D45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Ciclo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Estudos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Level </w:t>
            </w:r>
          </w:p>
        </w:tc>
      </w:tr>
      <w:tr w:rsidR="00271F7F" w:rsidRPr="00086CB8" w14:paraId="6E0436A4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13EB720" w14:textId="370F8A32" w:rsidR="003E5087" w:rsidRPr="00271F7F" w:rsidRDefault="003E5087" w:rsidP="00147834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 w:rsidRPr="00147834">
              <w:rPr>
                <w:rFonts w:asciiTheme="minorHAnsi" w:hAnsiTheme="minorHAnsi" w:cs="Open Sans"/>
                <w:bCs/>
                <w:color w:val="auto"/>
                <w:sz w:val="24"/>
                <w:szCs w:val="24"/>
                <w:lang w:val="pt-PT"/>
              </w:rPr>
              <w:t xml:space="preserve"> Licenciatura </w:t>
            </w:r>
          </w:p>
        </w:tc>
      </w:tr>
      <w:tr w:rsidR="00271F7F" w:rsidRPr="00271F7F" w14:paraId="30945479" w14:textId="77777777" w:rsidTr="00CF7131">
        <w:tc>
          <w:tcPr>
            <w:tcW w:w="5000" w:type="pct"/>
          </w:tcPr>
          <w:p w14:paraId="1CD886A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0DD146C3" w14:textId="38B89929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Semestre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Semester</w:t>
            </w:r>
          </w:p>
        </w:tc>
      </w:tr>
      <w:tr w:rsidR="00271F7F" w:rsidRPr="00271F7F" w14:paraId="503D5518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2B1209F" w14:textId="2EEE25DA" w:rsidR="00CF7131" w:rsidRPr="00271F7F" w:rsidRDefault="00577611" w:rsidP="00D503C6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Cs/>
                <w:color w:val="auto"/>
                <w:sz w:val="24"/>
                <w:szCs w:val="24"/>
              </w:rPr>
              <w:t>S2</w:t>
            </w:r>
          </w:p>
        </w:tc>
      </w:tr>
      <w:tr w:rsidR="00271F7F" w:rsidRPr="00271F7F" w14:paraId="6B76FE0D" w14:textId="77777777" w:rsidTr="00CF7131">
        <w:tc>
          <w:tcPr>
            <w:tcW w:w="5000" w:type="pct"/>
          </w:tcPr>
          <w:p w14:paraId="6413F49E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DECAB5E" w14:textId="39B15B9A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Docente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(s)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Instructor(s) </w:t>
            </w:r>
          </w:p>
        </w:tc>
      </w:tr>
      <w:tr w:rsidR="00271F7F" w:rsidRPr="00271F7F" w14:paraId="13A889DB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29F1FB9B" w14:textId="77777777" w:rsidR="00CF7131" w:rsidRPr="00147834" w:rsidRDefault="0014783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color w:val="auto"/>
                <w:sz w:val="24"/>
                <w:szCs w:val="24"/>
              </w:rPr>
            </w:pPr>
            <w:r w:rsidRPr="00147834">
              <w:rPr>
                <w:rFonts w:asciiTheme="minorHAnsi" w:hAnsiTheme="minorHAnsi" w:cs="Open Sans"/>
                <w:color w:val="auto"/>
                <w:sz w:val="24"/>
                <w:szCs w:val="24"/>
              </w:rPr>
              <w:t>Maria Helena Marques Antunes</w:t>
            </w:r>
          </w:p>
          <w:p w14:paraId="5BF651AF" w14:textId="01E9C740" w:rsidR="00147834" w:rsidRPr="00271F7F" w:rsidRDefault="0014783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271F7F" w:rsidRPr="00271F7F" w14:paraId="23C06C0C" w14:textId="77777777" w:rsidTr="00CF7131">
        <w:tc>
          <w:tcPr>
            <w:tcW w:w="5000" w:type="pct"/>
          </w:tcPr>
          <w:p w14:paraId="3E22559C" w14:textId="77777777" w:rsidR="00CF7131" w:rsidRPr="00271F7F" w:rsidRDefault="00CF7131" w:rsidP="00CF7131">
            <w:pPr>
              <w:jc w:val="both"/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</w:pPr>
            <w:bookmarkStart w:id="0" w:name="OLE_LINK2"/>
          </w:p>
          <w:p w14:paraId="4C45905F" w14:textId="6C9C2AC9" w:rsidR="006C3D17" w:rsidRPr="00271F7F" w:rsidRDefault="006C3D17" w:rsidP="00CF7131">
            <w:pPr>
              <w:jc w:val="both"/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</w:pPr>
            <w:r w:rsidRPr="00271F7F"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  <w:t xml:space="preserve">Língua de ensino |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Language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of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instruction</w:t>
            </w:r>
            <w:proofErr w:type="spellEnd"/>
          </w:p>
        </w:tc>
      </w:tr>
      <w:tr w:rsidR="00271F7F" w:rsidRPr="00271F7F" w14:paraId="53ADC05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3BD63E2" w14:textId="057BC8E6" w:rsidR="00CF7131" w:rsidRPr="00147834" w:rsidRDefault="00147834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color w:val="1F4E79" w:themeColor="accent5" w:themeShade="80"/>
                <w:sz w:val="24"/>
                <w:szCs w:val="24"/>
              </w:rPr>
            </w:pPr>
            <w:proofErr w:type="spellStart"/>
            <w:r w:rsidRPr="00147834">
              <w:rPr>
                <w:rFonts w:asciiTheme="minorHAnsi" w:hAnsiTheme="minorHAnsi" w:cs="Open Sans"/>
                <w:color w:val="auto"/>
                <w:sz w:val="24"/>
                <w:szCs w:val="24"/>
              </w:rPr>
              <w:t>Francês</w:t>
            </w:r>
            <w:proofErr w:type="spellEnd"/>
          </w:p>
        </w:tc>
      </w:tr>
      <w:tr w:rsidR="00271F7F" w:rsidRPr="00271F7F" w14:paraId="6BB132C5" w14:textId="77777777" w:rsidTr="00CF7131">
        <w:tc>
          <w:tcPr>
            <w:tcW w:w="5000" w:type="pct"/>
          </w:tcPr>
          <w:p w14:paraId="627EDA93" w14:textId="77777777" w:rsidR="00CF7131" w:rsidRPr="001D03F1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</w:pPr>
          </w:p>
          <w:p w14:paraId="2B2CAB37" w14:textId="463B0D6D" w:rsidR="006C3D17" w:rsidRPr="001D03F1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>Programa</w:t>
            </w:r>
            <w:proofErr w:type="spellEnd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1D03F1">
              <w:rPr>
                <w:rFonts w:asciiTheme="minorHAnsi" w:hAnsiTheme="minorHAnsi" w:cstheme="minorHAnsi"/>
                <w:b/>
                <w:color w:val="1F4E79" w:themeColor="accent5" w:themeShade="80"/>
                <w:sz w:val="24"/>
                <w:szCs w:val="24"/>
              </w:rPr>
              <w:t xml:space="preserve">) | </w:t>
            </w:r>
            <w:r w:rsidRPr="001D03F1">
              <w:rPr>
                <w:rFonts w:asciiTheme="minorHAnsi" w:hAnsiTheme="minorHAnsi" w:cstheme="minorHAnsi"/>
                <w:b/>
                <w:i/>
                <w:color w:val="1F4E79" w:themeColor="accent5" w:themeShade="80"/>
                <w:sz w:val="24"/>
                <w:szCs w:val="24"/>
              </w:rPr>
              <w:t>Course description (in language of instruction)</w:t>
            </w:r>
          </w:p>
        </w:tc>
      </w:tr>
      <w:tr w:rsidR="00271F7F" w:rsidRPr="00271F7F" w14:paraId="6DF9CBBA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BB80738" w14:textId="6C36EC12" w:rsidR="00CF7131" w:rsidRPr="00577611" w:rsidRDefault="00577611" w:rsidP="00F56A70">
            <w:pPr>
              <w:jc w:val="both"/>
              <w:rPr>
                <w:rFonts w:asciiTheme="minorHAnsi" w:hAnsiTheme="minorHAnsi" w:cstheme="minorHAnsi"/>
                <w:b/>
                <w:color w:val="1F4E79" w:themeColor="accent5" w:themeShade="80"/>
              </w:rPr>
            </w:pPr>
            <w:r w:rsidRPr="00577611">
              <w:rPr>
                <w:rFonts w:asciiTheme="minorHAnsi" w:hAnsiTheme="minorHAnsi" w:cstheme="minorHAnsi"/>
                <w:lang w:val="fr-FR"/>
              </w:rPr>
              <w:t xml:space="preserve">Le programme vise le développement des compétences de compréhension, d’interaction, de production et de médiation orales et écrites correspondant au second palier du niveau C1. Il privilégie le thème « Regards croisés » et développe une réflexion sur l’identité, le rapport langues et cultures ainsi que les représentations et les stéréotypes en s’appuyant sur une grande variété de supports écrits, </w:t>
            </w:r>
            <w:proofErr w:type="spellStart"/>
            <w:r w:rsidRPr="00577611">
              <w:rPr>
                <w:rFonts w:asciiTheme="minorHAnsi" w:hAnsiTheme="minorHAnsi" w:cstheme="minorHAnsi"/>
                <w:lang w:val="fr-FR"/>
              </w:rPr>
              <w:t>audios</w:t>
            </w:r>
            <w:proofErr w:type="spellEnd"/>
            <w:r w:rsidRPr="00577611">
              <w:rPr>
                <w:rFonts w:asciiTheme="minorHAnsi" w:hAnsiTheme="minorHAnsi" w:cstheme="minorHAnsi"/>
                <w:lang w:val="fr-FR"/>
              </w:rPr>
              <w:t xml:space="preserve"> et vidéos. Il met en œuvre une pédagogie active à travers une grande diversité de tâches d’analyse discursive et de communication simulée ou réelle mobilisant divers genres discursifs et des connaissances d’ordre linguistique et socioculturel.</w:t>
            </w:r>
          </w:p>
        </w:tc>
      </w:tr>
      <w:tr w:rsidR="00271F7F" w:rsidRPr="00271F7F" w14:paraId="65F24E31" w14:textId="77777777" w:rsidTr="00CF7131">
        <w:tc>
          <w:tcPr>
            <w:tcW w:w="5000" w:type="pct"/>
          </w:tcPr>
          <w:p w14:paraId="47C1370A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03DD9037" w14:textId="37941A49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Avaliação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)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Grading and Assessment (in language of instruction)</w:t>
            </w:r>
          </w:p>
        </w:tc>
      </w:tr>
      <w:tr w:rsidR="00271F7F" w:rsidRPr="00086CB8" w14:paraId="42E6460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3ECCB04" w14:textId="77777777" w:rsidR="00F56A70" w:rsidRPr="00F56A70" w:rsidRDefault="00F56A70" w:rsidP="00F56A7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F56A70">
              <w:rPr>
                <w:rFonts w:asciiTheme="minorHAnsi" w:hAnsiTheme="minorHAnsi" w:cstheme="minorHAnsi"/>
                <w:lang w:val="fr-FR"/>
              </w:rPr>
              <w:t>Les instruments d’évaluation du parcours d’apprentissage comprennent :</w:t>
            </w:r>
          </w:p>
          <w:p w14:paraId="1E353883" w14:textId="77777777" w:rsidR="00F56A70" w:rsidRPr="00F56A70" w:rsidRDefault="00F56A70" w:rsidP="00F56A70">
            <w:pPr>
              <w:pStyle w:val="PargrafodaLista"/>
              <w:numPr>
                <w:ilvl w:val="0"/>
                <w:numId w:val="4"/>
              </w:numPr>
              <w:spacing w:line="276" w:lineRule="auto"/>
              <w:rPr>
                <w:rFonts w:cstheme="minorHAnsi"/>
                <w:lang w:val="fr-FR"/>
              </w:rPr>
            </w:pPr>
            <w:r w:rsidRPr="00F56A70">
              <w:rPr>
                <w:rFonts w:cstheme="minorHAnsi"/>
                <w:lang w:val="fr-FR"/>
              </w:rPr>
              <w:t>2 tests avec des activités de compréhension orale et écrite, de langue et d’expression écrite (25% + 25%)</w:t>
            </w:r>
          </w:p>
          <w:p w14:paraId="7AC5CE2E" w14:textId="2020A158" w:rsidR="00F56A70" w:rsidRDefault="00F56A70" w:rsidP="00F56A7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lang w:val="fr-FR"/>
              </w:rPr>
            </w:pPr>
            <w:r w:rsidRPr="00F56A70">
              <w:rPr>
                <w:rFonts w:cstheme="minorHAnsi"/>
                <w:lang w:val="fr-FR"/>
              </w:rPr>
              <w:t>Épreuve orale individuelle/ en groupe : simulation d’un colloque (25%)</w:t>
            </w:r>
          </w:p>
          <w:p w14:paraId="23099D5A" w14:textId="1EFE53D4" w:rsidR="00CF7131" w:rsidRPr="00F56A70" w:rsidRDefault="00F56A70" w:rsidP="00F56A7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Travaux obligatoires (25%)</w:t>
            </w:r>
          </w:p>
        </w:tc>
      </w:tr>
      <w:tr w:rsidR="00271F7F" w:rsidRPr="00271F7F" w14:paraId="6F3B16ED" w14:textId="77777777" w:rsidTr="00CF7131">
        <w:tc>
          <w:tcPr>
            <w:tcW w:w="5000" w:type="pct"/>
          </w:tcPr>
          <w:p w14:paraId="15397EE0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6D22E86A" w14:textId="5A695046" w:rsidR="006C3D17" w:rsidRPr="00271F7F" w:rsidRDefault="006C3D17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Bibliografia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(selection)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Readings (selection)</w:t>
            </w:r>
          </w:p>
        </w:tc>
      </w:tr>
      <w:tr w:rsidR="00271F7F" w:rsidRPr="00271F7F" w14:paraId="6FF0119D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638E72A1" w14:textId="77777777" w:rsidR="00577611" w:rsidRPr="00577611" w:rsidRDefault="00577611" w:rsidP="00577611">
            <w:pPr>
              <w:pStyle w:val="PargrafodaLista"/>
              <w:spacing w:after="0" w:line="240" w:lineRule="auto"/>
              <w:ind w:left="0"/>
              <w:rPr>
                <w:rFonts w:cstheme="minorHAnsi"/>
                <w:lang w:val="fr-FR"/>
              </w:rPr>
            </w:pPr>
            <w:r w:rsidRPr="00577611">
              <w:rPr>
                <w:rFonts w:cstheme="minorHAnsi"/>
                <w:lang w:val="fr-FR"/>
              </w:rPr>
              <w:t>Abdallah-</w:t>
            </w:r>
            <w:proofErr w:type="spellStart"/>
            <w:r w:rsidRPr="00577611">
              <w:rPr>
                <w:rFonts w:cstheme="minorHAnsi"/>
                <w:lang w:val="fr-FR"/>
              </w:rPr>
              <w:t>Pretceille</w:t>
            </w:r>
            <w:proofErr w:type="spellEnd"/>
            <w:r w:rsidRPr="00577611">
              <w:rPr>
                <w:rFonts w:cstheme="minorHAnsi"/>
                <w:lang w:val="fr-FR"/>
              </w:rPr>
              <w:t xml:space="preserve"> M., Porcher, L. (1996). </w:t>
            </w:r>
            <w:r w:rsidRPr="00577611">
              <w:rPr>
                <w:rFonts w:cstheme="minorHAnsi"/>
                <w:i/>
                <w:iCs/>
                <w:lang w:val="fr-FR"/>
              </w:rPr>
              <w:t>Education et communication interculturelle</w:t>
            </w:r>
            <w:r w:rsidRPr="00577611">
              <w:rPr>
                <w:rFonts w:cstheme="minorHAnsi"/>
                <w:lang w:val="fr-FR"/>
              </w:rPr>
              <w:t xml:space="preserve">. Paris : PUF. Bourdieu, P. (1979). </w:t>
            </w:r>
            <w:r w:rsidRPr="00577611">
              <w:rPr>
                <w:rFonts w:cstheme="minorHAnsi"/>
                <w:i/>
                <w:iCs/>
                <w:lang w:val="fr-FR"/>
              </w:rPr>
              <w:t>La distinction</w:t>
            </w:r>
            <w:r w:rsidRPr="00577611">
              <w:rPr>
                <w:rFonts w:cstheme="minorHAnsi"/>
                <w:lang w:val="fr-FR"/>
              </w:rPr>
              <w:t xml:space="preserve">. Paris : Editions de Minuit. </w:t>
            </w:r>
          </w:p>
          <w:p w14:paraId="6AD07209" w14:textId="77777777" w:rsidR="00577611" w:rsidRPr="00577611" w:rsidRDefault="00577611" w:rsidP="00577611">
            <w:pPr>
              <w:pStyle w:val="PargrafodaLista"/>
              <w:spacing w:after="0" w:line="240" w:lineRule="auto"/>
              <w:ind w:left="0"/>
              <w:rPr>
                <w:rFonts w:cstheme="minorHAnsi"/>
                <w:lang w:val="fr-FR"/>
              </w:rPr>
            </w:pPr>
            <w:r w:rsidRPr="00577611">
              <w:rPr>
                <w:rFonts w:cstheme="minorHAnsi"/>
                <w:lang w:val="fr-FR"/>
              </w:rPr>
              <w:lastRenderedPageBreak/>
              <w:t xml:space="preserve">Braudel, F. (1986). </w:t>
            </w:r>
            <w:r w:rsidRPr="00577611">
              <w:rPr>
                <w:rFonts w:cstheme="minorHAnsi"/>
                <w:i/>
                <w:iCs/>
                <w:lang w:val="fr-FR"/>
              </w:rPr>
              <w:t>L’identité de la France</w:t>
            </w:r>
            <w:r w:rsidRPr="00577611">
              <w:rPr>
                <w:rFonts w:cstheme="minorHAnsi"/>
                <w:lang w:val="fr-FR"/>
              </w:rPr>
              <w:t xml:space="preserve">. Paris : Arthaud Flammarion. </w:t>
            </w:r>
          </w:p>
          <w:p w14:paraId="59B3C485" w14:textId="77777777" w:rsidR="00577611" w:rsidRPr="00577611" w:rsidRDefault="00577611" w:rsidP="00577611">
            <w:pPr>
              <w:pStyle w:val="PargrafodaLista"/>
              <w:spacing w:after="0" w:line="240" w:lineRule="auto"/>
              <w:ind w:left="0"/>
              <w:rPr>
                <w:rFonts w:cstheme="minorHAnsi"/>
              </w:rPr>
            </w:pPr>
            <w:proofErr w:type="spellStart"/>
            <w:r w:rsidRPr="00577611">
              <w:rPr>
                <w:rFonts w:cstheme="minorHAnsi"/>
                <w:lang w:val="fr-FR"/>
              </w:rPr>
              <w:t>Cuche</w:t>
            </w:r>
            <w:proofErr w:type="spellEnd"/>
            <w:r w:rsidRPr="00577611">
              <w:rPr>
                <w:rFonts w:cstheme="minorHAnsi"/>
                <w:lang w:val="fr-FR"/>
              </w:rPr>
              <w:t xml:space="preserve">, D. (1996). </w:t>
            </w:r>
            <w:r w:rsidRPr="00577611">
              <w:rPr>
                <w:rFonts w:cstheme="minorHAnsi"/>
                <w:i/>
                <w:iCs/>
                <w:lang w:val="fr-FR"/>
              </w:rPr>
              <w:t>La notion de culture dans les sciences humaines</w:t>
            </w:r>
            <w:r w:rsidRPr="00577611">
              <w:rPr>
                <w:rFonts w:cstheme="minorHAnsi"/>
                <w:lang w:val="fr-FR"/>
              </w:rPr>
              <w:t xml:space="preserve">. Paris : Editions de la Découverte. Glissant, É. (1990). </w:t>
            </w:r>
            <w:r w:rsidRPr="00577611">
              <w:rPr>
                <w:rFonts w:cstheme="minorHAnsi"/>
                <w:i/>
                <w:iCs/>
                <w:lang w:val="fr-FR"/>
              </w:rPr>
              <w:t>Poétique de la relation</w:t>
            </w:r>
            <w:r w:rsidRPr="00577611">
              <w:rPr>
                <w:rFonts w:cstheme="minorHAnsi"/>
                <w:lang w:val="fr-FR"/>
              </w:rPr>
              <w:t xml:space="preserve">. </w:t>
            </w:r>
            <w:r w:rsidRPr="00577611">
              <w:rPr>
                <w:rFonts w:cstheme="minorHAnsi"/>
              </w:rPr>
              <w:t>Paris: Gallimard.</w:t>
            </w:r>
          </w:p>
          <w:p w14:paraId="608708E4" w14:textId="77777777" w:rsidR="00577611" w:rsidRPr="00577611" w:rsidRDefault="00577611" w:rsidP="00577611">
            <w:pPr>
              <w:pStyle w:val="PargrafodaLista"/>
              <w:spacing w:after="0" w:line="240" w:lineRule="auto"/>
              <w:ind w:left="0"/>
              <w:rPr>
                <w:rFonts w:cstheme="minorHAnsi"/>
                <w:lang w:val="fr-FR"/>
              </w:rPr>
            </w:pPr>
            <w:r w:rsidRPr="00577611">
              <w:rPr>
                <w:rFonts w:cstheme="minorHAnsi"/>
              </w:rPr>
              <w:t xml:space="preserve">Lourenço, E. (1978). </w:t>
            </w:r>
            <w:r w:rsidRPr="00577611">
              <w:rPr>
                <w:rFonts w:cstheme="minorHAnsi"/>
                <w:i/>
                <w:iCs/>
              </w:rPr>
              <w:t>O Labirinto da Saudade. Psicanálise mítica do destino português</w:t>
            </w:r>
            <w:r w:rsidRPr="00577611">
              <w:rPr>
                <w:rFonts w:cstheme="minorHAnsi"/>
              </w:rPr>
              <w:t xml:space="preserve">. </w:t>
            </w:r>
            <w:r w:rsidRPr="00577611">
              <w:rPr>
                <w:rFonts w:cstheme="minorHAnsi"/>
                <w:lang w:val="fr-FR"/>
              </w:rPr>
              <w:t xml:space="preserve">Lisboa : Dom </w:t>
            </w:r>
            <w:proofErr w:type="spellStart"/>
            <w:r w:rsidRPr="00577611">
              <w:rPr>
                <w:rFonts w:cstheme="minorHAnsi"/>
                <w:lang w:val="fr-FR"/>
              </w:rPr>
              <w:t>Quixote</w:t>
            </w:r>
            <w:proofErr w:type="spellEnd"/>
            <w:r w:rsidRPr="00577611">
              <w:rPr>
                <w:rFonts w:cstheme="minorHAnsi"/>
                <w:lang w:val="fr-FR"/>
              </w:rPr>
              <w:t>.</w:t>
            </w:r>
          </w:p>
          <w:p w14:paraId="376D0638" w14:textId="77777777" w:rsidR="00577611" w:rsidRPr="00577611" w:rsidRDefault="00577611" w:rsidP="00577611">
            <w:pPr>
              <w:pStyle w:val="PargrafodaLista"/>
              <w:spacing w:after="0" w:line="240" w:lineRule="auto"/>
              <w:ind w:left="0"/>
              <w:rPr>
                <w:rFonts w:cstheme="minorHAnsi"/>
                <w:lang w:val="fr-FR"/>
              </w:rPr>
            </w:pPr>
            <w:r w:rsidRPr="00577611">
              <w:rPr>
                <w:rFonts w:cstheme="minorHAnsi"/>
                <w:lang w:val="fr-FR"/>
              </w:rPr>
              <w:t xml:space="preserve">Serres, M. (1991). </w:t>
            </w:r>
            <w:r w:rsidRPr="00577611">
              <w:rPr>
                <w:rFonts w:cstheme="minorHAnsi"/>
                <w:i/>
                <w:iCs/>
                <w:lang w:val="fr-FR"/>
              </w:rPr>
              <w:t>Le Tiers Instruit</w:t>
            </w:r>
            <w:r w:rsidRPr="00577611">
              <w:rPr>
                <w:rFonts w:cstheme="minorHAnsi"/>
                <w:lang w:val="fr-FR"/>
              </w:rPr>
              <w:t xml:space="preserve">. Paris : Éditions François </w:t>
            </w:r>
            <w:proofErr w:type="spellStart"/>
            <w:r w:rsidRPr="00577611">
              <w:rPr>
                <w:rFonts w:cstheme="minorHAnsi"/>
                <w:lang w:val="fr-FR"/>
              </w:rPr>
              <w:t>Bourin</w:t>
            </w:r>
            <w:proofErr w:type="spellEnd"/>
            <w:r w:rsidRPr="00577611">
              <w:rPr>
                <w:rFonts w:cstheme="minorHAnsi"/>
                <w:lang w:val="fr-FR"/>
              </w:rPr>
              <w:t xml:space="preserve">. </w:t>
            </w:r>
          </w:p>
          <w:p w14:paraId="6C9461B1" w14:textId="77777777" w:rsidR="00577611" w:rsidRPr="00577611" w:rsidRDefault="00577611" w:rsidP="00577611">
            <w:pPr>
              <w:pStyle w:val="PargrafodaLista"/>
              <w:spacing w:after="0" w:line="240" w:lineRule="auto"/>
              <w:ind w:left="0"/>
              <w:rPr>
                <w:rFonts w:cstheme="minorHAnsi"/>
                <w:lang w:val="fr-FR"/>
              </w:rPr>
            </w:pPr>
            <w:r w:rsidRPr="00577611">
              <w:rPr>
                <w:rFonts w:cstheme="minorHAnsi"/>
                <w:lang w:val="fr-FR"/>
              </w:rPr>
              <w:t xml:space="preserve">Todorov, T. (1996). </w:t>
            </w:r>
            <w:r w:rsidRPr="00577611">
              <w:rPr>
                <w:rFonts w:cstheme="minorHAnsi"/>
                <w:i/>
                <w:iCs/>
                <w:lang w:val="fr-FR"/>
              </w:rPr>
              <w:t>L’homme dépays</w:t>
            </w:r>
            <w:bookmarkStart w:id="1" w:name="_GoBack"/>
            <w:bookmarkEnd w:id="1"/>
            <w:r w:rsidRPr="00577611">
              <w:rPr>
                <w:rFonts w:cstheme="minorHAnsi"/>
                <w:i/>
                <w:iCs/>
                <w:lang w:val="fr-FR"/>
              </w:rPr>
              <w:t>é</w:t>
            </w:r>
            <w:r w:rsidRPr="00577611">
              <w:rPr>
                <w:rFonts w:cstheme="minorHAnsi"/>
                <w:lang w:val="fr-FR"/>
              </w:rPr>
              <w:t xml:space="preserve">. Paris : Seuil. </w:t>
            </w:r>
          </w:p>
          <w:p w14:paraId="171A886A" w14:textId="1374AADB" w:rsidR="003E5087" w:rsidRPr="00577611" w:rsidRDefault="00577611" w:rsidP="0057761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CC0000"/>
                <w:sz w:val="22"/>
                <w:szCs w:val="22"/>
                <w:u w:val="single"/>
                <w:lang w:val="fr-FR"/>
              </w:rPr>
            </w:pPr>
            <w:proofErr w:type="spellStart"/>
            <w:r w:rsidRPr="005776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Yaguello</w:t>
            </w:r>
            <w:proofErr w:type="spellEnd"/>
            <w:r w:rsidRPr="005776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M. (1988).</w:t>
            </w:r>
            <w:r w:rsidRPr="0057761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Les faits de langue</w:t>
            </w:r>
            <w:r w:rsidRPr="0057761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 Paris : Seuil.</w:t>
            </w:r>
          </w:p>
        </w:tc>
      </w:tr>
      <w:tr w:rsidR="00271F7F" w:rsidRPr="00271F7F" w14:paraId="111B9975" w14:textId="77777777" w:rsidTr="00CF7131">
        <w:tc>
          <w:tcPr>
            <w:tcW w:w="5000" w:type="pct"/>
          </w:tcPr>
          <w:p w14:paraId="7743DE9B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348944A7" w14:textId="0CCFFA30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Requisitos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="00C55BDF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Prerequisites</w:t>
            </w:r>
          </w:p>
        </w:tc>
      </w:tr>
      <w:tr w:rsidR="00271F7F" w:rsidRPr="00086CB8" w14:paraId="53C83E52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2FFA0C9" w14:textId="609C9A74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</w:pPr>
          </w:p>
        </w:tc>
      </w:tr>
      <w:bookmarkEnd w:id="0"/>
    </w:tbl>
    <w:p w14:paraId="22D75D6E" w14:textId="77777777" w:rsidR="006C3D17" w:rsidRPr="00271F7F" w:rsidRDefault="006C3D17" w:rsidP="006C3D17">
      <w:pPr>
        <w:rPr>
          <w:rFonts w:asciiTheme="minorHAnsi" w:hAnsiTheme="minorHAnsi"/>
          <w:color w:val="1F4E79" w:themeColor="accent5" w:themeShade="80"/>
          <w:sz w:val="22"/>
          <w:szCs w:val="22"/>
          <w:lang w:val="pt-PT"/>
        </w:rPr>
      </w:pPr>
    </w:p>
    <w:p w14:paraId="53DB0FA3" w14:textId="5D23A582" w:rsidR="00BC7404" w:rsidRPr="00271F7F" w:rsidRDefault="00BC7404" w:rsidP="00271F7F">
      <w:pPr>
        <w:pStyle w:val="01textocorrido"/>
        <w:spacing w:line="240" w:lineRule="auto"/>
        <w:jc w:val="left"/>
        <w:rPr>
          <w:color w:val="1F4E79" w:themeColor="accent5" w:themeShade="80"/>
          <w:sz w:val="16"/>
          <w:szCs w:val="16"/>
        </w:rPr>
      </w:pPr>
    </w:p>
    <w:sectPr w:rsidR="00BC7404" w:rsidRPr="00271F7F" w:rsidSect="00565644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C266" w14:textId="77777777" w:rsidR="00B25123" w:rsidRDefault="00B25123" w:rsidP="004E203C">
      <w:r>
        <w:separator/>
      </w:r>
    </w:p>
  </w:endnote>
  <w:endnote w:type="continuationSeparator" w:id="0">
    <w:p w14:paraId="1EEA3EB7" w14:textId="77777777" w:rsidR="00B25123" w:rsidRDefault="00B25123" w:rsidP="004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Sans-Bold">
    <w:altName w:val="Arial"/>
    <w:panose1 w:val="00000000000000000000"/>
    <w:charset w:val="4D"/>
    <w:family w:val="auto"/>
    <w:notTrueType/>
    <w:pitch w:val="variable"/>
    <w:sig w:usb0="00000001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43ED53B2" w14:textId="77777777" w:rsidTr="00A65606">
      <w:trPr>
        <w:trHeight w:val="51"/>
      </w:trPr>
      <w:tc>
        <w:tcPr>
          <w:tcW w:w="8500" w:type="dxa"/>
        </w:tcPr>
        <w:p w14:paraId="6CB6DFD0" w14:textId="77777777" w:rsidR="00565644" w:rsidRPr="00FC3359" w:rsidRDefault="00565644" w:rsidP="00565644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>Faculdade de Letras da Universidade de Lisboa</w:t>
          </w:r>
        </w:p>
      </w:tc>
      <w:tc>
        <w:tcPr>
          <w:tcW w:w="510" w:type="dxa"/>
        </w:tcPr>
        <w:p w14:paraId="3EB514D7" w14:textId="6203F8C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577611">
            <w:rPr>
              <w:rStyle w:val="Nmerodepgina"/>
              <w:noProof/>
              <w:szCs w:val="18"/>
            </w:rPr>
            <w:t>2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577611">
            <w:rPr>
              <w:rStyle w:val="Nmerodepgina"/>
              <w:noProof/>
              <w:szCs w:val="18"/>
            </w:rPr>
            <w:t>2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02B0BA78" w14:textId="77777777" w:rsidR="004E203C" w:rsidRPr="004E203C" w:rsidRDefault="004E203C" w:rsidP="00D63A49">
    <w:pPr>
      <w:pStyle w:val="03txt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7DFD4C9F" w14:textId="77777777" w:rsidTr="00A65606">
      <w:trPr>
        <w:trHeight w:val="41"/>
      </w:trPr>
      <w:tc>
        <w:tcPr>
          <w:tcW w:w="8500" w:type="dxa"/>
        </w:tcPr>
        <w:p w14:paraId="2DF919C9" w14:textId="77777777" w:rsidR="00565644" w:rsidRPr="00FC3359" w:rsidRDefault="00565644" w:rsidP="004D38D6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 xml:space="preserve">Alameda da Universidade, 1600-214 Lisboa | </w:t>
          </w:r>
          <w:r w:rsidRPr="00FC3359">
            <w:rPr>
              <w:caps/>
              <w:szCs w:val="18"/>
              <w:lang w:val="pt-BR"/>
            </w:rPr>
            <w:t>t. +</w:t>
          </w:r>
          <w:r w:rsidRPr="00FC3359">
            <w:rPr>
              <w:szCs w:val="18"/>
              <w:lang w:val="pt-BR"/>
            </w:rPr>
            <w:t>351 217 920 0</w:t>
          </w:r>
          <w:r w:rsidR="004D38D6" w:rsidRPr="00FC3359">
            <w:rPr>
              <w:szCs w:val="18"/>
              <w:lang w:val="pt-BR"/>
            </w:rPr>
            <w:t>00</w:t>
          </w:r>
          <w:r w:rsidRPr="00FC3359">
            <w:rPr>
              <w:caps/>
              <w:szCs w:val="18"/>
              <w:lang w:val="pt-BR"/>
            </w:rPr>
            <w:t xml:space="preserve"> | </w:t>
          </w:r>
          <w:r w:rsidR="004D38D6" w:rsidRPr="00FC3359">
            <w:rPr>
              <w:szCs w:val="18"/>
              <w:lang w:val="pt-BR"/>
            </w:rPr>
            <w:t xml:space="preserve">info@letras.ulisboa.pt </w:t>
          </w:r>
          <w:r w:rsidRPr="00FC3359">
            <w:rPr>
              <w:szCs w:val="18"/>
              <w:lang w:val="pt-BR"/>
            </w:rPr>
            <w:t xml:space="preserve">| </w:t>
          </w:r>
          <w:r w:rsidR="004D38D6" w:rsidRPr="00FC3359">
            <w:rPr>
              <w:szCs w:val="18"/>
              <w:lang w:val="pt-BR"/>
            </w:rPr>
            <w:t>www.letras.ulisboa.pt</w:t>
          </w:r>
        </w:p>
      </w:tc>
      <w:tc>
        <w:tcPr>
          <w:tcW w:w="510" w:type="dxa"/>
        </w:tcPr>
        <w:p w14:paraId="485EF582" w14:textId="2E41CCC4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577611">
            <w:rPr>
              <w:rStyle w:val="Nmerodepgina"/>
              <w:noProof/>
              <w:szCs w:val="18"/>
            </w:rPr>
            <w:t>1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577611">
            <w:rPr>
              <w:rStyle w:val="Nmerodepgina"/>
              <w:noProof/>
              <w:szCs w:val="18"/>
            </w:rPr>
            <w:t>2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79716C24" w14:textId="77777777" w:rsidR="004E203C" w:rsidRPr="004E203C" w:rsidRDefault="004E203C" w:rsidP="004E203C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156C" w14:textId="77777777" w:rsidR="00B25123" w:rsidRDefault="00B25123" w:rsidP="004E203C">
      <w:r>
        <w:separator/>
      </w:r>
    </w:p>
  </w:footnote>
  <w:footnote w:type="continuationSeparator" w:id="0">
    <w:p w14:paraId="44490609" w14:textId="77777777" w:rsidR="00B25123" w:rsidRDefault="00B25123" w:rsidP="004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933F" w14:textId="77777777" w:rsidR="004E203C" w:rsidRDefault="00DA5313" w:rsidP="004E203C">
    <w:pPr>
      <w:ind w:left="-567"/>
      <w:rPr>
        <w:rFonts w:cs="MerriweatherSans-Bold"/>
        <w:b/>
        <w:bCs/>
        <w:color w:val="001E5A"/>
        <w:sz w:val="22"/>
        <w:szCs w:val="22"/>
        <w:lang w:val="pt-BR"/>
      </w:rPr>
    </w:pPr>
    <w:r w:rsidRPr="00895AE1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094148F5" wp14:editId="28989A6C">
          <wp:simplePos x="0" y="0"/>
          <wp:positionH relativeFrom="page">
            <wp:posOffset>534670</wp:posOffset>
          </wp:positionH>
          <wp:positionV relativeFrom="page">
            <wp:posOffset>394007</wp:posOffset>
          </wp:positionV>
          <wp:extent cx="3240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B6D4" w14:textId="77777777" w:rsidR="003E5087" w:rsidRDefault="003E5087" w:rsidP="006C3D17">
    <w:pPr>
      <w:tabs>
        <w:tab w:val="left" w:pos="2426"/>
      </w:tabs>
      <w:ind w:left="-567"/>
      <w:jc w:val="both"/>
      <w:rPr>
        <w:rFonts w:asciiTheme="minorHAnsi" w:hAnsiTheme="minorHAnsi" w:cstheme="minorHAnsi"/>
        <w:b/>
        <w:bCs/>
        <w:color w:val="002060"/>
        <w:sz w:val="28"/>
        <w:szCs w:val="28"/>
        <w:lang w:val="pt-BR"/>
      </w:rPr>
    </w:pPr>
  </w:p>
  <w:p w14:paraId="3312B134" w14:textId="34AC19D2" w:rsidR="004E203C" w:rsidRPr="003E5087" w:rsidRDefault="006C3D17" w:rsidP="003E5087">
    <w:pPr>
      <w:tabs>
        <w:tab w:val="left" w:pos="2426"/>
      </w:tabs>
      <w:jc w:val="both"/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</w:pP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Programa | </w:t>
    </w:r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Course Description</w:t>
    </w: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 2022/2023</w:t>
    </w:r>
  </w:p>
  <w:p w14:paraId="749184AD" w14:textId="77777777" w:rsidR="004E203C" w:rsidRPr="004E203C" w:rsidRDefault="004E203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FF2"/>
    <w:multiLevelType w:val="hybridMultilevel"/>
    <w:tmpl w:val="9638667A"/>
    <w:lvl w:ilvl="0" w:tplc="85B28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3CB3"/>
    <w:multiLevelType w:val="hybridMultilevel"/>
    <w:tmpl w:val="A816CA5C"/>
    <w:lvl w:ilvl="0" w:tplc="A77258C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187"/>
    <w:multiLevelType w:val="hybridMultilevel"/>
    <w:tmpl w:val="CEB6D32C"/>
    <w:lvl w:ilvl="0" w:tplc="A77258C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12A90"/>
    <w:multiLevelType w:val="hybridMultilevel"/>
    <w:tmpl w:val="42FC3678"/>
    <w:lvl w:ilvl="0" w:tplc="85B28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7"/>
    <w:rsid w:val="00086CB8"/>
    <w:rsid w:val="00137092"/>
    <w:rsid w:val="00147834"/>
    <w:rsid w:val="001D03F1"/>
    <w:rsid w:val="001E075F"/>
    <w:rsid w:val="001F4FE2"/>
    <w:rsid w:val="0020237B"/>
    <w:rsid w:val="002037C8"/>
    <w:rsid w:val="002259D8"/>
    <w:rsid w:val="00234BA0"/>
    <w:rsid w:val="00247A4C"/>
    <w:rsid w:val="002554AC"/>
    <w:rsid w:val="00271F7F"/>
    <w:rsid w:val="003E5087"/>
    <w:rsid w:val="004372C1"/>
    <w:rsid w:val="004D38D6"/>
    <w:rsid w:val="004E203C"/>
    <w:rsid w:val="00565644"/>
    <w:rsid w:val="00577611"/>
    <w:rsid w:val="005B4992"/>
    <w:rsid w:val="006608B5"/>
    <w:rsid w:val="006C3D17"/>
    <w:rsid w:val="006E4AC1"/>
    <w:rsid w:val="00703F0C"/>
    <w:rsid w:val="00763F62"/>
    <w:rsid w:val="00794B57"/>
    <w:rsid w:val="007A2849"/>
    <w:rsid w:val="00801C84"/>
    <w:rsid w:val="0082243D"/>
    <w:rsid w:val="00856268"/>
    <w:rsid w:val="00B25123"/>
    <w:rsid w:val="00BC7404"/>
    <w:rsid w:val="00BE0AFB"/>
    <w:rsid w:val="00BE13D1"/>
    <w:rsid w:val="00C0074C"/>
    <w:rsid w:val="00C55BDF"/>
    <w:rsid w:val="00CF7131"/>
    <w:rsid w:val="00D062E9"/>
    <w:rsid w:val="00D1268D"/>
    <w:rsid w:val="00D503C6"/>
    <w:rsid w:val="00D63A49"/>
    <w:rsid w:val="00D7556C"/>
    <w:rsid w:val="00DA5313"/>
    <w:rsid w:val="00DE6F74"/>
    <w:rsid w:val="00E82C58"/>
    <w:rsid w:val="00F56A70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36DC"/>
  <w15:chartTrackingRefBased/>
  <w15:docId w15:val="{9D990246-73F5-2840-96BE-0348E88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Corrido"/>
    <w:qFormat/>
    <w:rsid w:val="006C3D17"/>
    <w:rPr>
      <w:rFonts w:ascii="Times New Roman" w:eastAsia="Times New Roman" w:hAnsi="Times New Roman" w:cs="Times New Roman"/>
      <w:lang w:val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BC7404"/>
    <w:pPr>
      <w:widowControl w:val="0"/>
      <w:pBdr>
        <w:bottom w:val="single" w:sz="4" w:space="1" w:color="auto"/>
      </w:pBdr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C7404"/>
    <w:pPr>
      <w:widowControl w:val="0"/>
      <w:autoSpaceDE w:val="0"/>
      <w:autoSpaceDN w:val="0"/>
      <w:adjustRightInd w:val="0"/>
      <w:spacing w:line="288" w:lineRule="auto"/>
      <w:jc w:val="both"/>
      <w:textAlignment w:val="center"/>
      <w:outlineLvl w:val="1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BC7404"/>
    <w:pPr>
      <w:keepNext/>
      <w:keepLines/>
      <w:widowControl w:val="0"/>
      <w:autoSpaceDE w:val="0"/>
      <w:autoSpaceDN w:val="0"/>
      <w:adjustRightInd w:val="0"/>
      <w:spacing w:before="40" w:line="288" w:lineRule="auto"/>
      <w:jc w:val="both"/>
      <w:textAlignment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E203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E203C"/>
  </w:style>
  <w:style w:type="paragraph" w:customStyle="1" w:styleId="03txtfooter">
    <w:name w:val="03 txt_footer"/>
    <w:basedOn w:val="Normal"/>
    <w:rsid w:val="00D63A4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sz w:val="18"/>
      <w:lang w:val="pt-PT" w:eastAsia="ja-JP"/>
    </w:rPr>
  </w:style>
  <w:style w:type="paragraph" w:customStyle="1" w:styleId="01textocorrido">
    <w:name w:val="01 texto corrido"/>
    <w:basedOn w:val="Normal"/>
    <w:qFormat/>
    <w:rsid w:val="00BC740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styleId="Nmerodepgina">
    <w:name w:val="page number"/>
    <w:basedOn w:val="Tipodeletrapredefinidodopargrafo"/>
    <w:uiPriority w:val="99"/>
    <w:semiHidden/>
    <w:unhideWhenUsed/>
    <w:rsid w:val="004E203C"/>
  </w:style>
  <w:style w:type="table" w:styleId="Tabelacomgrelha">
    <w:name w:val="Table Grid"/>
    <w:basedOn w:val="Tabelanormal"/>
    <w:uiPriority w:val="59"/>
    <w:rsid w:val="004E203C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Centros">
    <w:name w:val="04 Centros"/>
    <w:basedOn w:val="Normal"/>
    <w:rsid w:val="00DA53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MerriweatherSans-Bold"/>
      <w:b/>
      <w:bCs/>
      <w:color w:val="001E5B"/>
      <w:sz w:val="22"/>
      <w:szCs w:val="22"/>
      <w:lang w:val="pt-BR" w:eastAsia="ja-JP"/>
    </w:rPr>
  </w:style>
  <w:style w:type="paragraph" w:styleId="SemEspaamento">
    <w:name w:val="No Spacing"/>
    <w:aliases w:val="Signature"/>
    <w:basedOn w:val="Normal"/>
    <w:uiPriority w:val="1"/>
    <w:rsid w:val="00D63A49"/>
    <w:pPr>
      <w:widowControl w:val="0"/>
      <w:autoSpaceDE w:val="0"/>
      <w:autoSpaceDN w:val="0"/>
      <w:adjustRightInd w:val="0"/>
      <w:spacing w:line="288" w:lineRule="auto"/>
      <w:ind w:left="4989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paragraph" w:customStyle="1" w:styleId="02Assinatura">
    <w:name w:val="02 Assinatura"/>
    <w:basedOn w:val="SemEspaamento"/>
    <w:rsid w:val="0082243D"/>
  </w:style>
  <w:style w:type="paragraph" w:styleId="Rodap">
    <w:name w:val="footer"/>
    <w:basedOn w:val="Normal"/>
    <w:link w:val="RodapCarter"/>
    <w:uiPriority w:val="99"/>
    <w:unhideWhenUsed/>
    <w:rsid w:val="002554A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554AC"/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C7404"/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paragraph" w:customStyle="1" w:styleId="Body1">
    <w:name w:val="Body 1"/>
    <w:rsid w:val="006C3D17"/>
    <w:pPr>
      <w:widowControl w:val="0"/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6C3D17"/>
    <w:pPr>
      <w:ind w:left="284" w:right="278" w:hanging="284"/>
      <w:jc w:val="both"/>
    </w:pPr>
    <w:rPr>
      <w:rFonts w:asciiTheme="minorHAnsi" w:hAnsiTheme="minorHAnsi" w:cs="Open Sans"/>
      <w:color w:val="1F4E79" w:themeColor="accent5" w:themeShade="80"/>
      <w:sz w:val="22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147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styleId="Hiperligao">
    <w:name w:val="Hyperlink"/>
    <w:rsid w:val="00F56A70"/>
    <w:rPr>
      <w:color w:val="CC0000"/>
      <w:u w:val="single"/>
    </w:rPr>
  </w:style>
  <w:style w:type="paragraph" w:customStyle="1" w:styleId="Default">
    <w:name w:val="Default"/>
    <w:rsid w:val="00F56A7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3A00F-AAC1-4723-8329-4D395D28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Assis Rosa</dc:creator>
  <cp:keywords/>
  <dc:description/>
  <cp:lastModifiedBy>Maria Helena Marques Antunes</cp:lastModifiedBy>
  <cp:revision>2</cp:revision>
  <dcterms:created xsi:type="dcterms:W3CDTF">2022-09-02T14:50:00Z</dcterms:created>
  <dcterms:modified xsi:type="dcterms:W3CDTF">2022-09-02T14:50:00Z</dcterms:modified>
</cp:coreProperties>
</file>